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293A" w14:textId="77777777" w:rsidR="00826110" w:rsidRDefault="00826110" w:rsidP="00826110">
      <w:r>
        <w:t>JAS ARGENTINA FINDS IT NECESSARY TO ADJUST THE EXCHANGE RATE APPLIED TO IMPORT AND EXPORT OPERATIONS.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94F18" w14:textId="60761023" w:rsidR="00826110" w:rsidRDefault="00826110" w:rsidP="00826110">
      <w:r>
        <w:t xml:space="preserve">FROM DECEMBER 23, ALL INVOICES ISSUED IN ARGENTINA WILL INCLUDE THE CONCEPT OF " COD", </w:t>
      </w:r>
      <w:r>
        <w:t xml:space="preserve">INDICATED AS A </w:t>
      </w:r>
      <w:r>
        <w:t>% OF THE TOTAL INVOICED AMOUNT.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0C07F6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A43B5" w14:textId="77777777" w:rsidR="00826110" w:rsidRDefault="00826110" w:rsidP="00826110">
      <w:r>
        <w:t xml:space="preserve">"·          Rates were quoted based on GENERAL cargo only. Unless otherwise specifically quoted, no HVC, perishables, reefers/temperature controlled, DG materials or oversized shipments </w:t>
      </w:r>
      <w:proofErr w:type="gramStart"/>
      <w:r>
        <w:t>were quoted</w:t>
      </w:r>
      <w:proofErr w:type="gramEnd"/>
      <w:r>
        <w:t xml:space="preserve">. Rates are based on current market tariffs subject to CHANGE WITHOUT PRIOR NOTICE. All DGR/Reefer quotes should </w:t>
      </w:r>
      <w:proofErr w:type="gramStart"/>
      <w:r>
        <w:t>be considered</w:t>
      </w:r>
      <w:proofErr w:type="gramEnd"/>
      <w:r>
        <w:t xml:space="preserve"> </w:t>
      </w:r>
      <w:proofErr w:type="gramStart"/>
      <w:r>
        <w:t>taking into account</w:t>
      </w:r>
      <w:proofErr w:type="gramEnd"/>
      <w:r>
        <w:t xml:space="preserve"> detailed information about IMO/ temperature control.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243A56" w14:textId="77777777" w:rsidR="00826110" w:rsidRDefault="00826110" w:rsidP="00826110">
      <w:r>
        <w:t xml:space="preserve">·          Inland quotes don’t include: ad valorem, insurance, toll fees, escorting services, armored escort, tri-axles trailers,  gris, RCTR-C/CTRC, helpers, tracking, removal, extra hours/drivers, nighttime, weekends, pre-stacking, lifting, barge or any other special transportation equipment, storage and other charges, and any of such equipment.  In the event such equipment is necessary, services will </w:t>
      </w:r>
      <w:proofErr w:type="gramStart"/>
      <w:r>
        <w:t>be billed</w:t>
      </w:r>
      <w:proofErr w:type="gramEnd"/>
      <w:r>
        <w:t xml:space="preserve"> separately pursuant to quotes valid at the time of transit.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DEEF4D" w14:textId="77777777" w:rsidR="00826110" w:rsidRDefault="00826110" w:rsidP="00826110">
      <w:r>
        <w:t xml:space="preserve">·          Pick up charges are based on services provided during normal business hours and business days, where service is </w:t>
      </w:r>
      <w:proofErr w:type="gramStart"/>
      <w:r>
        <w:t>being rendered (standard service)</w:t>
      </w:r>
      <w:proofErr w:type="gramEnd"/>
      <w:r>
        <w:t>: Monday-Friday, 09:00 am - 5:00pm.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F32C4" w14:textId="77777777" w:rsidR="00826110" w:rsidRDefault="00826110" w:rsidP="00826110">
      <w:r>
        <w:t>·          Inspections, official forms, government fees, taxes and duties (including, but not limited to PIS, COFINS, ICMS, ISS, IOF), insurance, deferment, licenses, courier, handover, vanning/devanning, cleaning, fumigation, heavy lift, highway fee, parking,  warehousing fees, unloading, port or airport charges, demurrage, detention, maneuvers are pass through charges to be billed as per outlay (VATOS).</w:t>
      </w:r>
      <w:r>
        <w:tab/>
      </w:r>
      <w:r>
        <w:tab/>
      </w:r>
    </w:p>
    <w:p w14:paraId="519B6238" w14:textId="77777777" w:rsidR="00826110" w:rsidRDefault="00826110" w:rsidP="00826110"/>
    <w:p w14:paraId="5113D017" w14:textId="77777777" w:rsidR="00826110" w:rsidRDefault="00826110" w:rsidP="00826110">
      <w:r>
        <w:tab/>
      </w:r>
      <w:r>
        <w:tab/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22E2B8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605095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00569E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07E89B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7349DD" w14:textId="77777777" w:rsidR="00826110" w:rsidRDefault="00826110" w:rsidP="0082611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E58F08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D0762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0146DE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88DB0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06702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ECC246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5A55D" w14:textId="77777777" w:rsidR="00826110" w:rsidRDefault="00826110" w:rsidP="00826110">
      <w:r>
        <w:t xml:space="preserve">"   Our quote does not include any incidental / unforeseen / additional / accessorial charges by Carriers and/or </w:t>
      </w:r>
      <w:proofErr w:type="gramStart"/>
      <w:r>
        <w:t>3rd</w:t>
      </w:r>
      <w:proofErr w:type="gramEnd"/>
      <w:r>
        <w:t xml:space="preserve"> parties such as (but not limited to) Insurance, Storage, Customs Examination, </w:t>
      </w:r>
      <w:proofErr w:type="gramStart"/>
      <w:r>
        <w:t>etc.</w:t>
      </w:r>
      <w:proofErr w:type="gramEnd"/>
      <w:r>
        <w:t xml:space="preserve"> and will </w:t>
      </w:r>
      <w:proofErr w:type="gramStart"/>
      <w:r>
        <w:t>be charged</w:t>
      </w:r>
      <w:proofErr w:type="gramEnd"/>
      <w:r>
        <w:t xml:space="preserve"> at cost as per outlay</w:t>
      </w:r>
      <w:proofErr w:type="gramStart"/>
      <w:r>
        <w:t xml:space="preserve">.  </w:t>
      </w:r>
      <w:proofErr w:type="gramEnd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05A185" w14:textId="77777777" w:rsidR="00826110" w:rsidRDefault="00826110" w:rsidP="00826110">
      <w:r>
        <w:t xml:space="preserve">·          Rates are subject to Floating Surcharges (VATOS); FSC, SCS, BAF, CAF, GRI, GRR, PSS, THC, River Plate </w:t>
      </w:r>
      <w:proofErr w:type="gramStart"/>
      <w:r>
        <w:t>Toll</w:t>
      </w:r>
      <w:proofErr w:type="gramEnd"/>
      <w:r>
        <w:t xml:space="preserve"> and any surcharge Valid at Time of Shipment (VATOS).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2691F" w14:textId="77777777" w:rsidR="00826110" w:rsidRDefault="00826110" w:rsidP="00826110">
      <w:r>
        <w:t xml:space="preserve">·          VAT will </w:t>
      </w:r>
      <w:proofErr w:type="gramStart"/>
      <w:r>
        <w:t>be added</w:t>
      </w:r>
      <w:proofErr w:type="gramEnd"/>
      <w:r>
        <w:t xml:space="preserve"> when applicable, according to local tax regulations </w:t>
      </w:r>
      <w:proofErr w:type="gramStart"/>
      <w:r>
        <w:t>on</w:t>
      </w:r>
      <w:proofErr w:type="gramEnd"/>
      <w:r>
        <w:t xml:space="preserve"> each country. </w:t>
      </w:r>
      <w:r>
        <w:tab/>
      </w:r>
    </w:p>
    <w:p w14:paraId="7057A333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1CCCAB" w14:textId="77777777" w:rsidR="00826110" w:rsidRDefault="00826110" w:rsidP="00826110">
      <w:r>
        <w:t xml:space="preserve">·          ROE (rate of exchange): We used that to convert based on the OANDA website. Any variation will </w:t>
      </w:r>
      <w:proofErr w:type="gramStart"/>
      <w:r>
        <w:t>be considered</w:t>
      </w:r>
      <w:proofErr w:type="gramEnd"/>
      <w:r>
        <w:t xml:space="preserve"> and reflected on the prices presented. JAS will take exchange rate Banco Nación Ticket and a gap could apply according to Commercial agreement.</w:t>
      </w:r>
      <w:r>
        <w:tab/>
      </w:r>
    </w:p>
    <w:p w14:paraId="04E4A0C1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F7BD7E" w14:textId="77777777" w:rsidR="00826110" w:rsidRDefault="00826110" w:rsidP="00826110">
      <w:r>
        <w:t>·          In case of material changes in market rates, during the validity period of this offer, JAS reserves the right to adjust offered rates or exit the business.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2D5926" w14:textId="77777777" w:rsidR="00826110" w:rsidRDefault="00826110" w:rsidP="00826110">
      <w:r>
        <w:t xml:space="preserve">·          Services involving cargo </w:t>
      </w:r>
      <w:proofErr w:type="gramStart"/>
      <w:r>
        <w:t>originated</w:t>
      </w:r>
      <w:proofErr w:type="gramEnd"/>
      <w:r>
        <w:t xml:space="preserve"> from countries defined as tax havens or that involve remittance of funds to such tax haven countries are subject to income tax of 25%, as per applicable tax legislation. Such percentage will </w:t>
      </w:r>
      <w:proofErr w:type="gramStart"/>
      <w:r>
        <w:t>be reflected</w:t>
      </w:r>
      <w:proofErr w:type="gramEnd"/>
      <w:r>
        <w:t xml:space="preserve"> on an increase of 33.33% over HAWB/HBL total amounts, pursuant to applicable Brazilian tax legislation.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C1E07E" w14:textId="77777777" w:rsidR="00826110" w:rsidRDefault="00826110" w:rsidP="00826110">
      <w:r>
        <w:t xml:space="preserve">·          Routes are subject to change based on Jas´s sole discretion.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CE2BE0" w14:textId="77777777" w:rsidR="00826110" w:rsidRDefault="00826110" w:rsidP="00826110">
      <w:r>
        <w:lastRenderedPageBreak/>
        <w:t xml:space="preserve">·          All origin / destination transit times are an estimative and considering a green channel by customs clearance, all shipments are subject to </w:t>
      </w:r>
      <w:proofErr w:type="gramStart"/>
      <w:r>
        <w:t>various factors</w:t>
      </w:r>
      <w:proofErr w:type="gramEnd"/>
      <w:r>
        <w:t xml:space="preserve"> that may affect transit time and clearance time.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75EBA4" w14:textId="77777777" w:rsidR="00826110" w:rsidRDefault="00826110" w:rsidP="00826110">
      <w:r>
        <w:t>·          Transit times are approximate and are subject to change without notice.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DDE66B" w14:textId="77777777" w:rsidR="00826110" w:rsidRDefault="00826110" w:rsidP="00826110">
      <w:r>
        <w:t xml:space="preserve">·          Reservation: JAS offers space guarantees considering supply and demand conditions, which means that JAS </w:t>
      </w:r>
      <w:proofErr w:type="gramStart"/>
      <w:r>
        <w:t>at all times</w:t>
      </w:r>
      <w:proofErr w:type="gramEnd"/>
      <w:r>
        <w:t xml:space="preserve"> will be able to perform and secure the required space as per the forecasted demand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DD69AA" w14:textId="77777777" w:rsidR="00826110" w:rsidRDefault="00826110" w:rsidP="00826110">
      <w:r>
        <w:t xml:space="preserve">·          This offer is based on today's valid tariffs and conditions and is subject to change with or without prior </w:t>
      </w:r>
      <w:proofErr w:type="gramStart"/>
      <w:r>
        <w:t>notification, and</w:t>
      </w:r>
      <w:proofErr w:type="gramEnd"/>
      <w:r>
        <w:t xml:space="preserve"> is valid for </w:t>
      </w:r>
      <w:proofErr w:type="gramStart"/>
      <w:r>
        <w:t>4</w:t>
      </w:r>
      <w:proofErr w:type="gramEnd"/>
      <w:r>
        <w:t xml:space="preserve"> working days since the proposal </w:t>
      </w:r>
      <w:proofErr w:type="gramStart"/>
      <w:r>
        <w:t>was sent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2B93F2" w14:textId="362BC16C" w:rsidR="00826110" w:rsidRDefault="00826110" w:rsidP="00826110">
      <w:r>
        <w:t xml:space="preserve">·          Implementation time required </w:t>
      </w:r>
      <w:proofErr w:type="gramStart"/>
      <w:r>
        <w:t>30</w:t>
      </w:r>
      <w:proofErr w:type="gramEnd"/>
      <w:r>
        <w:t xml:space="preserve"> working</w:t>
      </w:r>
      <w:r>
        <w:t xml:space="preserve"> days</w:t>
      </w:r>
    </w:p>
    <w:p w14:paraId="3ED7880D" w14:textId="77777777" w:rsidR="00826110" w:rsidRDefault="00826110" w:rsidP="00826110"/>
    <w:p w14:paraId="0F27789A" w14:textId="73B7550A" w:rsidR="00826110" w:rsidRDefault="00826110" w:rsidP="00826110">
      <w:r>
        <w:t xml:space="preserve">·          The subtotals of the offer are </w:t>
      </w:r>
      <w:proofErr w:type="gramStart"/>
      <w:r>
        <w:t>estimated,</w:t>
      </w:r>
      <w:proofErr w:type="gramEnd"/>
      <w:r>
        <w:t xml:space="preserve"> they can have variation.</w:t>
      </w:r>
    </w:p>
    <w:p w14:paraId="1932499A" w14:textId="66E3DC3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</w:p>
    <w:p w14:paraId="393E6500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B5727D" w14:textId="77777777" w:rsidR="00826110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CA988" w14:textId="30F5F5CF" w:rsidR="002221BE" w:rsidRDefault="00826110" w:rsidP="00826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22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10"/>
    <w:rsid w:val="002221BE"/>
    <w:rsid w:val="004E577E"/>
    <w:rsid w:val="00820504"/>
    <w:rsid w:val="00826110"/>
    <w:rsid w:val="00E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9D8A"/>
  <w15:chartTrackingRefBased/>
  <w15:docId w15:val="{8C925124-CCBA-48E3-88B7-B797997D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1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Nunez - ARBUE</dc:creator>
  <cp:keywords/>
  <dc:description/>
  <cp:lastModifiedBy>Gonzalo Nunez - ARBUE</cp:lastModifiedBy>
  <cp:revision>1</cp:revision>
  <dcterms:created xsi:type="dcterms:W3CDTF">2026-05-07T14:44:00Z</dcterms:created>
  <dcterms:modified xsi:type="dcterms:W3CDTF">2026-05-07T15:23:00Z</dcterms:modified>
</cp:coreProperties>
</file>